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AAA" w:rsidRDefault="00452278" w:rsidP="00452278">
      <w:pPr>
        <w:jc w:val="center"/>
        <w:rPr>
          <w:b/>
          <w:u w:val="single"/>
        </w:rPr>
      </w:pPr>
      <w:r>
        <w:rPr>
          <w:b/>
          <w:u w:val="single"/>
        </w:rPr>
        <w:t xml:space="preserve">Stratégies d’infection : les champignons </w:t>
      </w:r>
      <w:proofErr w:type="spellStart"/>
      <w:r>
        <w:rPr>
          <w:b/>
          <w:u w:val="single"/>
        </w:rPr>
        <w:t>biotrophes</w:t>
      </w:r>
      <w:proofErr w:type="spellEnd"/>
      <w:r>
        <w:rPr>
          <w:b/>
          <w:u w:val="single"/>
        </w:rPr>
        <w:t>.</w:t>
      </w:r>
    </w:p>
    <w:p w:rsidR="00452278" w:rsidRDefault="00452278" w:rsidP="00452278">
      <w:pPr>
        <w:jc w:val="both"/>
      </w:pPr>
    </w:p>
    <w:p w:rsidR="00452278" w:rsidRDefault="00452278" w:rsidP="00452278">
      <w:pPr>
        <w:spacing w:after="0"/>
        <w:jc w:val="both"/>
      </w:pPr>
      <w:r>
        <w:t xml:space="preserve">-Comportement </w:t>
      </w:r>
      <w:proofErr w:type="spellStart"/>
      <w:r>
        <w:t>biotrophe</w:t>
      </w:r>
      <w:proofErr w:type="spellEnd"/>
      <w:r>
        <w:t xml:space="preserve"> : qui maintient son hôte en vie. Ex : les rouilles, les oïdiums et les mildious (phytophtora </w:t>
      </w:r>
      <w:proofErr w:type="spellStart"/>
      <w:r>
        <w:t>infestans</w:t>
      </w:r>
      <w:proofErr w:type="spellEnd"/>
      <w:r>
        <w:t xml:space="preserve"> responsable de l’immigration des irlandais aux US). Parasite obligatoire, présence d’haustoria, sécrétion d’enzymes limitée, spectre d’hôte étroit si incompatibilité : mort cellulaire. Progression du pathogène enrayée par la défense de la plante.</w:t>
      </w:r>
    </w:p>
    <w:p w:rsidR="00452278" w:rsidRDefault="00452278" w:rsidP="00452278">
      <w:pPr>
        <w:spacing w:after="0"/>
        <w:jc w:val="both"/>
      </w:pPr>
    </w:p>
    <w:p w:rsidR="00452278" w:rsidRDefault="00452278" w:rsidP="00452278">
      <w:pPr>
        <w:spacing w:after="0"/>
        <w:jc w:val="both"/>
      </w:pPr>
      <w:r>
        <w:t xml:space="preserve">-Comportement </w:t>
      </w:r>
      <w:proofErr w:type="spellStart"/>
      <w:r>
        <w:t>nécrotrophe</w:t>
      </w:r>
      <w:proofErr w:type="spellEnd"/>
      <w:r>
        <w:t> :</w:t>
      </w:r>
    </w:p>
    <w:p w:rsidR="00452278" w:rsidRDefault="00452278" w:rsidP="00452278">
      <w:pPr>
        <w:spacing w:after="0"/>
        <w:jc w:val="both"/>
      </w:pPr>
      <w:r>
        <w:t>Symptômes : macération, nécroses=pourritures molles ou grises. Le pathogène progresse dans les tissus morts.</w:t>
      </w:r>
    </w:p>
    <w:p w:rsidR="00452278" w:rsidRDefault="00452278" w:rsidP="00452278">
      <w:pPr>
        <w:spacing w:after="0"/>
        <w:jc w:val="both"/>
      </w:pPr>
      <w:r>
        <w:t xml:space="preserve">Parasites facultatifs, large spectre d’hôtes, enzymes de dégradation, toxines, voies du </w:t>
      </w:r>
      <w:proofErr w:type="spellStart"/>
      <w:r>
        <w:t>jasmonate</w:t>
      </w:r>
      <w:proofErr w:type="spellEnd"/>
      <w:r>
        <w:t xml:space="preserve"> et de l’éthylène pour la défense. Pas d’haustoria, forte sécrétion d’enzymes. Progression du pathogène favorisée par la défense de la plante. Stratégie </w:t>
      </w:r>
      <w:proofErr w:type="spellStart"/>
      <w:r>
        <w:t>phytotoxique</w:t>
      </w:r>
      <w:proofErr w:type="spellEnd"/>
      <w:r>
        <w:t>.</w:t>
      </w:r>
    </w:p>
    <w:p w:rsidR="00452278" w:rsidRDefault="00452278" w:rsidP="00452278">
      <w:pPr>
        <w:spacing w:after="0"/>
        <w:jc w:val="both"/>
      </w:pPr>
    </w:p>
    <w:p w:rsidR="00452278" w:rsidRDefault="00452278" w:rsidP="00452278">
      <w:pPr>
        <w:spacing w:after="0"/>
        <w:jc w:val="both"/>
      </w:pPr>
      <w:r>
        <w:t xml:space="preserve">-Comportement </w:t>
      </w:r>
      <w:proofErr w:type="spellStart"/>
      <w:r>
        <w:t>hémibiotrophe</w:t>
      </w:r>
      <w:proofErr w:type="spellEnd"/>
      <w:r>
        <w:t xml:space="preserve"> : capables de garder leur hôte en vie un court instant avant de devenir </w:t>
      </w:r>
      <w:proofErr w:type="spellStart"/>
      <w:r>
        <w:t>nécrotrophe</w:t>
      </w:r>
      <w:proofErr w:type="spellEnd"/>
      <w:r>
        <w:t xml:space="preserve">. </w:t>
      </w:r>
    </w:p>
    <w:p w:rsidR="00452278" w:rsidRDefault="00452278" w:rsidP="00452278">
      <w:pPr>
        <w:spacing w:after="0"/>
        <w:jc w:val="center"/>
      </w:pPr>
    </w:p>
    <w:p w:rsidR="00452278" w:rsidRPr="00452278" w:rsidRDefault="00452278" w:rsidP="00452278">
      <w:pPr>
        <w:spacing w:after="0"/>
        <w:jc w:val="center"/>
        <w:rPr>
          <w:b/>
          <w:u w:val="single"/>
        </w:rPr>
      </w:pPr>
      <w:r>
        <w:rPr>
          <w:b/>
          <w:u w:val="single"/>
        </w:rPr>
        <w:t>Reconnaissance hôte-pathogène</w:t>
      </w:r>
    </w:p>
    <w:p w:rsidR="00452278" w:rsidRDefault="00452278" w:rsidP="00452278">
      <w:pPr>
        <w:spacing w:after="0"/>
        <w:jc w:val="both"/>
      </w:pPr>
    </w:p>
    <w:p w:rsidR="00452278" w:rsidRDefault="00452278" w:rsidP="00452278">
      <w:pPr>
        <w:spacing w:after="0"/>
        <w:jc w:val="both"/>
      </w:pPr>
      <w:r>
        <w:t>-la spore est l’agent de dissémination par excellence. Il y aura rencontre avec l’hôte et on aura, ou non, une reconnaissance.</w:t>
      </w:r>
    </w:p>
    <w:p w:rsidR="00320FED" w:rsidRDefault="00320FED" w:rsidP="00452278">
      <w:pPr>
        <w:spacing w:after="0"/>
        <w:jc w:val="both"/>
      </w:pPr>
      <w:r>
        <w:t>-Adaptations spécifiques, fixation adhésion, pénétration.</w:t>
      </w:r>
    </w:p>
    <w:p w:rsidR="00320FED" w:rsidRDefault="00320FED" w:rsidP="00452278">
      <w:pPr>
        <w:spacing w:after="0"/>
        <w:jc w:val="both"/>
      </w:pPr>
      <w:r>
        <w:t>-Utilisation optimale des nutriments de l’hôte Reprogrammation métaboliques.</w:t>
      </w:r>
    </w:p>
    <w:p w:rsidR="00320FED" w:rsidRDefault="00320FED" w:rsidP="00452278">
      <w:pPr>
        <w:spacing w:after="0"/>
        <w:jc w:val="both"/>
      </w:pPr>
      <w:r>
        <w:t>-Adaptation au stress généré par les mécanismes de défenses de l’hôte.</w:t>
      </w:r>
    </w:p>
    <w:p w:rsidR="00320FED" w:rsidRDefault="00320FED" w:rsidP="00452278">
      <w:pPr>
        <w:spacing w:after="0"/>
        <w:jc w:val="both"/>
      </w:pPr>
      <w:r>
        <w:t xml:space="preserve">-Approche classique : génétique inverse, mutagénèse au hasard. Méthodes globales : </w:t>
      </w:r>
      <w:proofErr w:type="spellStart"/>
      <w:r>
        <w:t>transcriptome</w:t>
      </w:r>
      <w:proofErr w:type="spellEnd"/>
      <w:r>
        <w:t xml:space="preserve">, </w:t>
      </w:r>
      <w:proofErr w:type="spellStart"/>
      <w:r>
        <w:t>métabolome</w:t>
      </w:r>
      <w:proofErr w:type="spellEnd"/>
      <w:r>
        <w:t>, protéome, analyse des protéines secrétées (biochimie, biologie cellulaire, biologie moléculaire).</w:t>
      </w:r>
    </w:p>
    <w:p w:rsidR="00EB3920" w:rsidRDefault="00EB3920" w:rsidP="00452278">
      <w:pPr>
        <w:spacing w:after="0"/>
        <w:jc w:val="both"/>
      </w:pPr>
      <w:r>
        <w:t xml:space="preserve">-Les plantes n’ont pas de système immunitaire adaptatif mais elles ont un système immunitaire inné. Les plantes n’ont pas de cellules spécialisées dans la reconnaissance microbienne comme des macrophages. Par contre chaque cellules de la plante est capable de reconnaitre le pathogène et lutter contre. On a une réponse systémique </w:t>
      </w:r>
      <w:proofErr w:type="spellStart"/>
      <w:r>
        <w:t>càd</w:t>
      </w:r>
      <w:proofErr w:type="spellEnd"/>
      <w:r>
        <w:t xml:space="preserve"> dans toute la plante afin d’être préparée contre le pathogène.</w:t>
      </w:r>
    </w:p>
    <w:p w:rsidR="00320FED" w:rsidRPr="00EB3920" w:rsidRDefault="00320FED" w:rsidP="00452278">
      <w:pPr>
        <w:spacing w:after="0"/>
        <w:jc w:val="both"/>
        <w:rPr>
          <w:u w:val="single"/>
        </w:rPr>
      </w:pPr>
    </w:p>
    <w:p w:rsidR="00EB3920" w:rsidRDefault="00EB3920" w:rsidP="00EB3920">
      <w:pPr>
        <w:pStyle w:val="Paragraphedeliste"/>
        <w:numPr>
          <w:ilvl w:val="0"/>
          <w:numId w:val="1"/>
        </w:numPr>
        <w:spacing w:after="0"/>
        <w:jc w:val="both"/>
        <w:rPr>
          <w:u w:val="single"/>
        </w:rPr>
      </w:pPr>
      <w:r w:rsidRPr="00EB3920">
        <w:rPr>
          <w:u w:val="single"/>
        </w:rPr>
        <w:t xml:space="preserve">Relation </w:t>
      </w:r>
      <w:proofErr w:type="spellStart"/>
      <w:r w:rsidRPr="00EB3920">
        <w:rPr>
          <w:u w:val="single"/>
        </w:rPr>
        <w:t>non-hôte</w:t>
      </w:r>
      <w:proofErr w:type="spellEnd"/>
      <w:r w:rsidRPr="00EB3920">
        <w:rPr>
          <w:u w:val="single"/>
        </w:rPr>
        <w:t xml:space="preserve"> entre l’hôte et le pathogène.</w:t>
      </w:r>
    </w:p>
    <w:p w:rsidR="00C51C17" w:rsidRPr="00C51C17" w:rsidRDefault="00C51C17" w:rsidP="00C51C17">
      <w:pPr>
        <w:spacing w:after="0"/>
        <w:jc w:val="both"/>
      </w:pPr>
      <w:r>
        <w:t>-Pas de déterminisme entre l’hôte et le pathogène.</w:t>
      </w:r>
    </w:p>
    <w:p w:rsidR="00452278" w:rsidRDefault="00EB3920" w:rsidP="00452278">
      <w:pPr>
        <w:spacing w:after="0"/>
        <w:jc w:val="both"/>
      </w:pPr>
      <w:r>
        <w:t>-Phénomène passifs : absence ou présence d’un paramètre permettant la pousse du pathogène.</w:t>
      </w:r>
    </w:p>
    <w:p w:rsidR="00EB3920" w:rsidRDefault="00EB3920" w:rsidP="00452278">
      <w:pPr>
        <w:spacing w:after="0"/>
        <w:jc w:val="both"/>
      </w:pPr>
      <w:r>
        <w:t xml:space="preserve">-Phénomène actifs : notion </w:t>
      </w:r>
      <w:r w:rsidRPr="00C51C17">
        <w:rPr>
          <w:u w:val="single"/>
        </w:rPr>
        <w:t>d’</w:t>
      </w:r>
      <w:proofErr w:type="spellStart"/>
      <w:r w:rsidRPr="00C51C17">
        <w:rPr>
          <w:u w:val="single"/>
        </w:rPr>
        <w:t>éliciteurs</w:t>
      </w:r>
      <w:proofErr w:type="spellEnd"/>
      <w:r w:rsidRPr="00C51C17">
        <w:rPr>
          <w:u w:val="single"/>
        </w:rPr>
        <w:t xml:space="preserve"> généraux</w:t>
      </w:r>
      <w:r w:rsidR="00C51C17">
        <w:t xml:space="preserve"> (signature du champi : chitine, béta </w:t>
      </w:r>
      <w:proofErr w:type="spellStart"/>
      <w:r w:rsidR="00C51C17">
        <w:t>glucane</w:t>
      </w:r>
      <w:proofErr w:type="spellEnd"/>
      <w:r w:rsidR="00C51C17">
        <w:t>, enzyme…)</w:t>
      </w:r>
      <w:r w:rsidR="00132A34">
        <w:t xml:space="preserve"> (composé qui déclenchera une réponse)</w:t>
      </w:r>
      <w:r>
        <w:t xml:space="preserve">. </w:t>
      </w:r>
      <w:proofErr w:type="spellStart"/>
      <w:r>
        <w:t>PAMPs</w:t>
      </w:r>
      <w:proofErr w:type="spellEnd"/>
      <w:r>
        <w:t xml:space="preserve"> et PRR chez les plantes. -&gt; PTI (PAMP </w:t>
      </w:r>
      <w:proofErr w:type="spellStart"/>
      <w:r>
        <w:t>Triggered</w:t>
      </w:r>
      <w:proofErr w:type="spellEnd"/>
      <w:r>
        <w:t xml:space="preserve"> </w:t>
      </w:r>
      <w:proofErr w:type="spellStart"/>
      <w:r>
        <w:t>Immunity</w:t>
      </w:r>
      <w:proofErr w:type="spellEnd"/>
      <w:r>
        <w:t>)</w:t>
      </w:r>
    </w:p>
    <w:p w:rsidR="00EB3920" w:rsidRDefault="00EB3920" w:rsidP="00452278">
      <w:pPr>
        <w:spacing w:after="0"/>
        <w:jc w:val="both"/>
      </w:pPr>
      <w:r>
        <w:t>-Réponse : activation des voies de défense</w:t>
      </w:r>
      <w:r w:rsidR="00C51C17">
        <w:t>,</w:t>
      </w:r>
      <w:r>
        <w:t xml:space="preserve"> pas de symptôme (non hôte de type 1) ou nécrose localisée (non hôte de type 2).</w:t>
      </w:r>
    </w:p>
    <w:p w:rsidR="008A5857" w:rsidRDefault="00132A34" w:rsidP="00452278">
      <w:pPr>
        <w:spacing w:after="0"/>
        <w:jc w:val="both"/>
      </w:pPr>
      <w:r>
        <w:t>Un bon PAMP : molécule conservée indispensable</w:t>
      </w:r>
      <w:r w:rsidR="008A5857">
        <w:t xml:space="preserve"> et caractéristique d’une classe entière de microbes et sont peu sujettes aux mutations et à l’évolution.</w:t>
      </w:r>
    </w:p>
    <w:p w:rsidR="008A5857" w:rsidRDefault="00C51C17" w:rsidP="00452278">
      <w:pPr>
        <w:spacing w:after="0"/>
        <w:jc w:val="both"/>
      </w:pPr>
      <w:r>
        <w:lastRenderedPageBreak/>
        <w:t>-Voie de défense de la plante : épaississement de la plante, production de ROS et activation de voie de signalisation type MAP kinase.</w:t>
      </w:r>
    </w:p>
    <w:p w:rsidR="00C51C17" w:rsidRDefault="00C51C17" w:rsidP="00452278">
      <w:pPr>
        <w:spacing w:after="0"/>
        <w:jc w:val="both"/>
      </w:pPr>
    </w:p>
    <w:p w:rsidR="00C51C17" w:rsidRDefault="00C51C17" w:rsidP="00452278">
      <w:pPr>
        <w:spacing w:after="0"/>
        <w:jc w:val="both"/>
      </w:pPr>
    </w:p>
    <w:p w:rsidR="00C51C17" w:rsidRPr="008A5857" w:rsidRDefault="008A5857" w:rsidP="00C51C17">
      <w:pPr>
        <w:pStyle w:val="Paragraphedeliste"/>
        <w:numPr>
          <w:ilvl w:val="0"/>
          <w:numId w:val="1"/>
        </w:numPr>
        <w:spacing w:after="0"/>
        <w:jc w:val="both"/>
      </w:pPr>
      <w:r>
        <w:rPr>
          <w:u w:val="single"/>
        </w:rPr>
        <w:t>Relation hôte.</w:t>
      </w:r>
    </w:p>
    <w:p w:rsidR="008A5857" w:rsidRDefault="008A5857" w:rsidP="008A5857">
      <w:pPr>
        <w:spacing w:after="0"/>
        <w:jc w:val="both"/>
      </w:pPr>
      <w:r>
        <w:t>-Phénomène actifs : Notion d’</w:t>
      </w:r>
      <w:proofErr w:type="spellStart"/>
      <w:r>
        <w:t>éliciteurs</w:t>
      </w:r>
      <w:proofErr w:type="spellEnd"/>
      <w:r>
        <w:t xml:space="preserve"> </w:t>
      </w:r>
      <w:r w:rsidRPr="00C51C17">
        <w:rPr>
          <w:u w:val="single"/>
        </w:rPr>
        <w:t>race-spécifiques</w:t>
      </w:r>
      <w:r>
        <w:t>, relation gène pour gène (</w:t>
      </w:r>
      <w:proofErr w:type="spellStart"/>
      <w:r>
        <w:t>avirulence</w:t>
      </w:r>
      <w:proofErr w:type="spellEnd"/>
      <w:r>
        <w:t>, résistance)</w:t>
      </w:r>
      <w:r w:rsidR="00C51C17">
        <w:t xml:space="preserve"> codant pour des protéines qui sont étudiées</w:t>
      </w:r>
      <w:r>
        <w:t>. N</w:t>
      </w:r>
      <w:r w:rsidR="00C51C17">
        <w:t xml:space="preserve">otion de relation compatible ou </w:t>
      </w:r>
      <w:r>
        <w:t>incompatible</w:t>
      </w:r>
      <w:r w:rsidR="00C51C17">
        <w:t xml:space="preserve"> (pas d’infection, il y a défense de l’hôte)</w:t>
      </w:r>
      <w:r>
        <w:t>. Réponse -&gt; activati</w:t>
      </w:r>
      <w:r w:rsidR="00775366">
        <w:t>on des voies de défense : Hypers</w:t>
      </w:r>
      <w:r>
        <w:t>ensibilité.</w:t>
      </w:r>
    </w:p>
    <w:p w:rsidR="00C51C17" w:rsidRDefault="00C51C17" w:rsidP="008A5857">
      <w:pPr>
        <w:spacing w:after="0"/>
        <w:jc w:val="both"/>
      </w:pPr>
      <w:r>
        <w:t>-Relation compatible, le produit du gène d’</w:t>
      </w:r>
      <w:proofErr w:type="spellStart"/>
      <w:r>
        <w:t>avirulence</w:t>
      </w:r>
      <w:proofErr w:type="spellEnd"/>
      <w:r>
        <w:t xml:space="preserve"> du champi et de résistance chez la plante ne se reconnaissent pas -&gt; il y a infection.</w:t>
      </w:r>
    </w:p>
    <w:p w:rsidR="00C51C17" w:rsidRDefault="00C51C17" w:rsidP="008A5857">
      <w:pPr>
        <w:spacing w:after="0"/>
        <w:jc w:val="both"/>
      </w:pPr>
    </w:p>
    <w:p w:rsidR="00C51C17" w:rsidRDefault="00C51C17" w:rsidP="008A5857">
      <w:pPr>
        <w:spacing w:after="0"/>
        <w:jc w:val="both"/>
      </w:pPr>
      <w:r>
        <w:t>-On a reconnaissance -&gt; réponse précoce (Flux ioniques, ROS, Voies de signalisation (kinases, protéines G…) -&gt; Signalisation</w:t>
      </w:r>
    </w:p>
    <w:p w:rsidR="00C51C17" w:rsidRDefault="00C51C17" w:rsidP="008A5857">
      <w:pPr>
        <w:spacing w:after="0"/>
        <w:jc w:val="both"/>
      </w:pPr>
      <w:r>
        <w:t xml:space="preserve">-Signalisation : </w:t>
      </w:r>
      <w:proofErr w:type="spellStart"/>
      <w:r>
        <w:t>Jasmonate</w:t>
      </w:r>
      <w:proofErr w:type="spellEnd"/>
      <w:r>
        <w:t xml:space="preserve">, </w:t>
      </w:r>
      <w:proofErr w:type="spellStart"/>
      <w:r>
        <w:t>ethylène</w:t>
      </w:r>
      <w:proofErr w:type="spellEnd"/>
      <w:r>
        <w:t xml:space="preserve">, acide salicylique </w:t>
      </w:r>
      <w:r>
        <w:sym w:font="Wingdings" w:char="F0E0"/>
      </w:r>
      <w:r>
        <w:t xml:space="preserve"> Synthèse de composés impliqués dans la défense.</w:t>
      </w:r>
    </w:p>
    <w:p w:rsidR="00563D63" w:rsidRDefault="00563D63" w:rsidP="008A5857">
      <w:pPr>
        <w:spacing w:after="0"/>
        <w:jc w:val="both"/>
      </w:pPr>
      <w:r>
        <w:t xml:space="preserve">-Réponse d’hypersensibilité : mort cellulaire programmée chez la plante pour enrayer le pathogène. </w:t>
      </w:r>
    </w:p>
    <w:p w:rsidR="00563D63" w:rsidRDefault="00563D63" w:rsidP="008A5857">
      <w:pPr>
        <w:spacing w:after="0"/>
        <w:jc w:val="both"/>
      </w:pPr>
      <w:r>
        <w:t xml:space="preserve">-Pour quels types de pathogène : les </w:t>
      </w:r>
      <w:proofErr w:type="spellStart"/>
      <w:r>
        <w:t>biotrophes</w:t>
      </w:r>
      <w:proofErr w:type="spellEnd"/>
      <w:r>
        <w:t>. Parce qu’ils ont besoin de cellules vivantes.</w:t>
      </w:r>
    </w:p>
    <w:p w:rsidR="00563D63" w:rsidRDefault="00563D63" w:rsidP="008A5857">
      <w:pPr>
        <w:spacing w:after="0"/>
        <w:jc w:val="both"/>
      </w:pPr>
      <w:r>
        <w:t xml:space="preserve">-Après la réaction d’hypersensibilité, on va avoir signalisation de différentes voies. </w:t>
      </w:r>
    </w:p>
    <w:p w:rsidR="00563D63" w:rsidRDefault="00563D63" w:rsidP="008A5857">
      <w:pPr>
        <w:spacing w:after="0"/>
        <w:jc w:val="both"/>
      </w:pPr>
    </w:p>
    <w:p w:rsidR="00563D63" w:rsidRDefault="00563D63" w:rsidP="008A5857">
      <w:pPr>
        <w:spacing w:after="0"/>
        <w:jc w:val="both"/>
      </w:pPr>
      <w:r>
        <w:t>-2 types d’interaction :</w:t>
      </w:r>
    </w:p>
    <w:p w:rsidR="00563D63" w:rsidRDefault="00563D63" w:rsidP="008A5857">
      <w:pPr>
        <w:spacing w:after="0"/>
        <w:jc w:val="both"/>
      </w:pPr>
      <w:r>
        <w:t>-</w:t>
      </w:r>
      <w:r>
        <w:rPr>
          <w:u w:val="single"/>
        </w:rPr>
        <w:t>Interaction hôte :</w:t>
      </w:r>
    </w:p>
    <w:p w:rsidR="00563D63" w:rsidRDefault="00563D63" w:rsidP="008A5857">
      <w:pPr>
        <w:spacing w:after="0"/>
        <w:jc w:val="both"/>
      </w:pPr>
      <w:r>
        <w:t xml:space="preserve">-Si interaction incompatible : </w:t>
      </w:r>
      <w:proofErr w:type="spellStart"/>
      <w:r>
        <w:t>Eliciteur</w:t>
      </w:r>
      <w:proofErr w:type="spellEnd"/>
      <w:r>
        <w:t xml:space="preserve"> race spécifique. Résistance agent </w:t>
      </w:r>
      <w:proofErr w:type="spellStart"/>
      <w:r>
        <w:t>avirulent</w:t>
      </w:r>
      <w:proofErr w:type="spellEnd"/>
      <w:r>
        <w:t xml:space="preserve"> -&gt; résistance précoce -&gt; transduction du signal -&gt; activation des défenses -&gt; renforcement des parois…</w:t>
      </w:r>
    </w:p>
    <w:p w:rsidR="00563D63" w:rsidRDefault="00563D63" w:rsidP="008A5857">
      <w:pPr>
        <w:spacing w:after="0"/>
        <w:jc w:val="both"/>
      </w:pPr>
      <w:r>
        <w:t xml:space="preserve">-Si interaction compatible : </w:t>
      </w:r>
      <w:proofErr w:type="spellStart"/>
      <w:r>
        <w:t>Cf</w:t>
      </w:r>
      <w:proofErr w:type="spellEnd"/>
      <w:r>
        <w:t xml:space="preserve"> diapo.</w:t>
      </w:r>
    </w:p>
    <w:p w:rsidR="00563D63" w:rsidRDefault="00563D63" w:rsidP="008A5857">
      <w:pPr>
        <w:spacing w:after="0"/>
        <w:jc w:val="both"/>
      </w:pPr>
    </w:p>
    <w:p w:rsidR="00563D63" w:rsidRDefault="00563D63" w:rsidP="008A5857">
      <w:pPr>
        <w:spacing w:after="0"/>
        <w:jc w:val="both"/>
      </w:pPr>
      <w:r>
        <w:t xml:space="preserve">-reconnaissance hôte pathogène : relation </w:t>
      </w:r>
      <w:proofErr w:type="spellStart"/>
      <w:r>
        <w:t>PAMPs</w:t>
      </w:r>
      <w:proofErr w:type="spellEnd"/>
      <w:r>
        <w:t xml:space="preserve"> </w:t>
      </w:r>
      <w:proofErr w:type="spellStart"/>
      <w:r>
        <w:t>PRRs</w:t>
      </w:r>
      <w:proofErr w:type="spellEnd"/>
      <w:r>
        <w:t xml:space="preserve">. On a des domaines kinases pour </w:t>
      </w:r>
      <w:proofErr w:type="spellStart"/>
      <w:r>
        <w:t>transduire</w:t>
      </w:r>
      <w:proofErr w:type="spellEnd"/>
      <w:r>
        <w:t xml:space="preserve"> le signal (</w:t>
      </w:r>
      <w:proofErr w:type="spellStart"/>
      <w:r>
        <w:t>Cf</w:t>
      </w:r>
      <w:proofErr w:type="spellEnd"/>
      <w:r>
        <w:t xml:space="preserve"> </w:t>
      </w:r>
      <w:proofErr w:type="spellStart"/>
      <w:r>
        <w:t>immuno</w:t>
      </w:r>
      <w:proofErr w:type="spellEnd"/>
      <w:r>
        <w:t>).</w:t>
      </w:r>
    </w:p>
    <w:p w:rsidR="00563D63" w:rsidRDefault="00563D63" w:rsidP="008A5857">
      <w:pPr>
        <w:spacing w:after="0"/>
        <w:jc w:val="both"/>
      </w:pPr>
      <w:r>
        <w:t>-Un PAMP est un élément très abondant, conservé, vital pour la survie ; Ex la survie, facteur d’élongation (ajout de nucléotide sur l’ARNm). Théorie : apparemment le facteur d’élongation pourrait être sécrété. Ça c’était chez  les bactéries.</w:t>
      </w:r>
    </w:p>
    <w:p w:rsidR="00563D63" w:rsidRDefault="00563D63" w:rsidP="008A5857">
      <w:pPr>
        <w:spacing w:after="0"/>
        <w:jc w:val="both"/>
      </w:pPr>
      <w:r>
        <w:t xml:space="preserve">-Un bon PAMP fongique : la </w:t>
      </w:r>
      <w:proofErr w:type="spellStart"/>
      <w:r>
        <w:t>xylanase</w:t>
      </w:r>
      <w:proofErr w:type="spellEnd"/>
      <w:r>
        <w:t>, la chitine.</w:t>
      </w:r>
    </w:p>
    <w:p w:rsidR="004421E8" w:rsidRDefault="004421E8" w:rsidP="008A5857">
      <w:pPr>
        <w:spacing w:after="0"/>
        <w:jc w:val="both"/>
      </w:pPr>
      <w:r>
        <w:t>-L’intérêt de travailler sur les PAMP/PRR est de trouver des plantes naturellement résistantes qui auraient des PRR qui ne reconnaissent pas ces PAMP ce qui limiterait l’infection.</w:t>
      </w:r>
    </w:p>
    <w:p w:rsidR="004421E8" w:rsidRDefault="004421E8" w:rsidP="008A5857">
      <w:pPr>
        <w:spacing w:after="0"/>
        <w:jc w:val="both"/>
      </w:pPr>
      <w:r>
        <w:t xml:space="preserve">-Pas d’infection : 3 possibilités : </w:t>
      </w:r>
      <w:proofErr w:type="spellStart"/>
      <w:r>
        <w:t>Cf</w:t>
      </w:r>
      <w:proofErr w:type="spellEnd"/>
      <w:r>
        <w:t xml:space="preserve"> Diapo.</w:t>
      </w:r>
    </w:p>
    <w:p w:rsidR="004421E8" w:rsidRDefault="004421E8" w:rsidP="008A5857">
      <w:pPr>
        <w:spacing w:after="0"/>
        <w:jc w:val="both"/>
      </w:pPr>
    </w:p>
    <w:p w:rsidR="004421E8" w:rsidRDefault="004421E8" w:rsidP="008A5857">
      <w:pPr>
        <w:spacing w:after="0"/>
        <w:jc w:val="both"/>
      </w:pPr>
      <w:r>
        <w:t>-Dans le cas d’une interaction compatible : structure de pénétration, hyphes progressant dans l’organisme.</w:t>
      </w:r>
    </w:p>
    <w:p w:rsidR="004421E8" w:rsidRDefault="004421E8" w:rsidP="008A5857">
      <w:pPr>
        <w:spacing w:after="0"/>
        <w:jc w:val="both"/>
      </w:pPr>
      <w:r>
        <w:t>-Dans l’autre cas : autre système se met en place, au bout d’une dizaine d’heures, on a mort cellulaire de la plante. Cette mort bloque le champignon.</w:t>
      </w:r>
    </w:p>
    <w:p w:rsidR="004421E8" w:rsidRDefault="004421E8" w:rsidP="008A5857">
      <w:pPr>
        <w:spacing w:after="0"/>
        <w:jc w:val="both"/>
      </w:pPr>
    </w:p>
    <w:p w:rsidR="004421E8" w:rsidRDefault="004421E8" w:rsidP="008A5857">
      <w:pPr>
        <w:spacing w:after="0"/>
        <w:jc w:val="both"/>
      </w:pPr>
      <w:r>
        <w:t>-Signaux d’</w:t>
      </w:r>
      <w:proofErr w:type="spellStart"/>
      <w:r>
        <w:t>avirulence</w:t>
      </w:r>
      <w:proofErr w:type="spellEnd"/>
      <w:r>
        <w:t xml:space="preserve"> fongique : code pour des protéines sécrétées : </w:t>
      </w:r>
      <w:proofErr w:type="spellStart"/>
      <w:r>
        <w:t>chitin</w:t>
      </w:r>
      <w:proofErr w:type="spellEnd"/>
      <w:r>
        <w:t xml:space="preserve"> </w:t>
      </w:r>
      <w:proofErr w:type="spellStart"/>
      <w:r>
        <w:t>binding</w:t>
      </w:r>
      <w:proofErr w:type="spellEnd"/>
      <w:r>
        <w:t xml:space="preserve"> </w:t>
      </w:r>
      <w:proofErr w:type="spellStart"/>
      <w:r>
        <w:t>proteins</w:t>
      </w:r>
      <w:proofErr w:type="spellEnd"/>
      <w:r>
        <w:t xml:space="preserve">, </w:t>
      </w:r>
      <w:proofErr w:type="spellStart"/>
      <w:r>
        <w:t>protease</w:t>
      </w:r>
      <w:proofErr w:type="spellEnd"/>
      <w:r>
        <w:t xml:space="preserve"> </w:t>
      </w:r>
      <w:proofErr w:type="spellStart"/>
      <w:r>
        <w:t>inhibitors</w:t>
      </w:r>
      <w:proofErr w:type="spellEnd"/>
      <w:r>
        <w:t xml:space="preserve">, </w:t>
      </w:r>
      <w:proofErr w:type="spellStart"/>
      <w:r>
        <w:t>proteases</w:t>
      </w:r>
      <w:proofErr w:type="spellEnd"/>
      <w:r>
        <w:t xml:space="preserve"> à zinc. Nombreuses fonction non identifiées.</w:t>
      </w:r>
    </w:p>
    <w:p w:rsidR="00656C73" w:rsidRDefault="004421E8" w:rsidP="008A5857">
      <w:pPr>
        <w:spacing w:after="0"/>
        <w:jc w:val="both"/>
      </w:pPr>
      <w:r>
        <w:lastRenderedPageBreak/>
        <w:t xml:space="preserve">-Exemple le mieux décrit : </w:t>
      </w:r>
      <w:proofErr w:type="spellStart"/>
      <w:r>
        <w:t>Cladosporium</w:t>
      </w:r>
      <w:proofErr w:type="spellEnd"/>
      <w:r w:rsidR="00656C73">
        <w:t xml:space="preserve">, feuille nécrosée. On prélève des fluides </w:t>
      </w:r>
      <w:proofErr w:type="spellStart"/>
      <w:r w:rsidR="00656C73">
        <w:t>apoplastiques</w:t>
      </w:r>
      <w:proofErr w:type="spellEnd"/>
      <w:r w:rsidR="00656C73">
        <w:t xml:space="preserve"> (entre les cellules). On injecte ce liquide dans une plante saine qui possède les récepteurs : on induit une réponse de défense. Si on injecte dans une plante saine sans les récepteurs : pas d’effet.</w:t>
      </w:r>
    </w:p>
    <w:p w:rsidR="00656C73" w:rsidRDefault="00656C73" w:rsidP="008A5857">
      <w:pPr>
        <w:spacing w:after="0"/>
        <w:jc w:val="both"/>
      </w:pPr>
    </w:p>
    <w:p w:rsidR="00656C73" w:rsidRDefault="00656C73" w:rsidP="008A5857">
      <w:pPr>
        <w:spacing w:after="0"/>
        <w:jc w:val="both"/>
      </w:pPr>
      <w:r>
        <w:t>-Deux modèles : modèle ligand-récepteur. On n’a jamais trouvé d’interaction physique directe entre le produit des gènes d’</w:t>
      </w:r>
      <w:proofErr w:type="spellStart"/>
      <w:r>
        <w:t>avirulece</w:t>
      </w:r>
      <w:proofErr w:type="spellEnd"/>
      <w:r>
        <w:t xml:space="preserve"> et le récepteur. Apparemment on aurait un troisième élément génétique. Autre protéines ? Cellule de garde ?</w:t>
      </w:r>
    </w:p>
    <w:p w:rsidR="00656C73" w:rsidRDefault="00656C73" w:rsidP="008A5857">
      <w:pPr>
        <w:spacing w:after="0"/>
        <w:jc w:val="both"/>
      </w:pPr>
      <w:r>
        <w:t>-Au départ les protéines d’</w:t>
      </w:r>
      <w:proofErr w:type="spellStart"/>
      <w:r>
        <w:t>avirulence</w:t>
      </w:r>
      <w:proofErr w:type="spellEnd"/>
      <w:r>
        <w:t xml:space="preserve"> étaient là pour perturber le fonctionnement cellulaire végétal.</w:t>
      </w:r>
    </w:p>
    <w:p w:rsidR="00656C73" w:rsidRDefault="00656C73" w:rsidP="008A5857">
      <w:pPr>
        <w:spacing w:after="0"/>
        <w:jc w:val="both"/>
      </w:pPr>
      <w:r>
        <w:t>-</w:t>
      </w:r>
      <w:proofErr w:type="spellStart"/>
      <w:r>
        <w:rPr>
          <w:i/>
        </w:rPr>
        <w:t>Magnaporthe</w:t>
      </w:r>
      <w:proofErr w:type="spellEnd"/>
      <w:r>
        <w:rPr>
          <w:i/>
        </w:rPr>
        <w:t xml:space="preserve"> </w:t>
      </w:r>
      <w:proofErr w:type="spellStart"/>
      <w:r>
        <w:rPr>
          <w:i/>
        </w:rPr>
        <w:t>grisea</w:t>
      </w:r>
      <w:proofErr w:type="spellEnd"/>
      <w:r>
        <w:t> : pathogène du riz qui a un impact énorme en Asie.</w:t>
      </w:r>
    </w:p>
    <w:p w:rsidR="00086FB7" w:rsidRDefault="00656C73" w:rsidP="008A5857">
      <w:pPr>
        <w:spacing w:after="0"/>
        <w:jc w:val="both"/>
      </w:pPr>
      <w:r>
        <w:t>-Le champignon sécrète des effecteurs : petites protéines sécrétées pour perturber le fonctionnement de la cellule végétale. Le cas particulier c’est que la plupart des protéines sécrétées sont des protéines d’</w:t>
      </w:r>
      <w:proofErr w:type="spellStart"/>
      <w:r>
        <w:t>avirulence</w:t>
      </w:r>
      <w:proofErr w:type="spellEnd"/>
      <w:r>
        <w:t>.</w:t>
      </w:r>
    </w:p>
    <w:p w:rsidR="00086FB7" w:rsidRDefault="00086FB7" w:rsidP="008A5857">
      <w:pPr>
        <w:spacing w:after="0"/>
        <w:jc w:val="both"/>
      </w:pPr>
      <w:r>
        <w:t>-Photo de gauche en vert, les effecteurs. Effecteur rouge : a migré d’une cellule à l’autre.</w:t>
      </w:r>
    </w:p>
    <w:p w:rsidR="00086FB7" w:rsidRDefault="00086FB7" w:rsidP="008A5857">
      <w:pPr>
        <w:spacing w:after="0"/>
        <w:jc w:val="both"/>
      </w:pPr>
      <w:r>
        <w:t xml:space="preserve">-Chez </w:t>
      </w:r>
      <w:proofErr w:type="spellStart"/>
      <w:r>
        <w:t>grisea</w:t>
      </w:r>
      <w:proofErr w:type="spellEnd"/>
      <w:r>
        <w:t xml:space="preserve"> on a trouvé 85 gènes R.</w:t>
      </w:r>
    </w:p>
    <w:p w:rsidR="00086FB7" w:rsidRDefault="00086FB7" w:rsidP="008A5857">
      <w:pPr>
        <w:spacing w:after="0"/>
        <w:jc w:val="both"/>
      </w:pPr>
      <w:r>
        <w:t xml:space="preserve">-Dans les gènes AVR : ACEI est le seul qui n’est pas sécrété. Ce gène ACEI code pour une </w:t>
      </w:r>
      <w:proofErr w:type="spellStart"/>
      <w:r>
        <w:t>polyketide</w:t>
      </w:r>
      <w:proofErr w:type="spellEnd"/>
      <w:r>
        <w:t xml:space="preserve"> </w:t>
      </w:r>
      <w:proofErr w:type="spellStart"/>
      <w:r>
        <w:t>synthase</w:t>
      </w:r>
      <w:proofErr w:type="spellEnd"/>
      <w:r>
        <w:t xml:space="preserve">, non ribosomal peptide </w:t>
      </w:r>
      <w:proofErr w:type="spellStart"/>
      <w:r>
        <w:t>synthase</w:t>
      </w:r>
      <w:proofErr w:type="spellEnd"/>
      <w:r>
        <w:t>. Ce gène d’</w:t>
      </w:r>
      <w:proofErr w:type="spellStart"/>
      <w:r>
        <w:t>avirulence</w:t>
      </w:r>
      <w:proofErr w:type="spellEnd"/>
      <w:r>
        <w:t xml:space="preserve"> code pour cette protéine. Ce produit est reconnu par le riz (Pi33). </w:t>
      </w:r>
    </w:p>
    <w:p w:rsidR="00770520" w:rsidRDefault="00086FB7" w:rsidP="008A5857">
      <w:pPr>
        <w:spacing w:after="0"/>
        <w:jc w:val="both"/>
      </w:pPr>
      <w:r>
        <w:t xml:space="preserve">-Dans les génomes, les gènes AVR sont proches de régions répétées et aussi proches des régions </w:t>
      </w:r>
      <w:proofErr w:type="spellStart"/>
      <w:r>
        <w:t>sub</w:t>
      </w:r>
      <w:proofErr w:type="spellEnd"/>
      <w:r>
        <w:t xml:space="preserve"> </w:t>
      </w:r>
      <w:proofErr w:type="spellStart"/>
      <w:r>
        <w:t>télomériques</w:t>
      </w:r>
      <w:proofErr w:type="spellEnd"/>
      <w:r>
        <w:t xml:space="preserve">. </w:t>
      </w:r>
      <w:r>
        <w:sym w:font="Wingdings" w:char="F0E0"/>
      </w:r>
      <w:r>
        <w:t xml:space="preserve"> Sujettes à de fréquentes mutations. </w:t>
      </w:r>
    </w:p>
    <w:p w:rsidR="00770520" w:rsidRDefault="00770520" w:rsidP="008A5857">
      <w:pPr>
        <w:spacing w:after="0"/>
        <w:jc w:val="both"/>
      </w:pPr>
      <w:r>
        <w:t>-Ces petits effecteurs peuvent aussi expliquer pourquoi les pathogènes se contentent d’un certain hôte.</w:t>
      </w:r>
    </w:p>
    <w:p w:rsidR="00770520" w:rsidRDefault="00770520" w:rsidP="008A5857">
      <w:pPr>
        <w:spacing w:after="0"/>
        <w:jc w:val="both"/>
      </w:pPr>
      <w:r>
        <w:t>-Des études ont été faite en bio info, essayer de repérer dans le génome des petites protéines sécrétées par prédiction en regardant les séquences signal. (</w:t>
      </w:r>
      <w:proofErr w:type="spellStart"/>
      <w:proofErr w:type="gramStart"/>
      <w:r>
        <w:t>interProSkan</w:t>
      </w:r>
      <w:proofErr w:type="spellEnd"/>
      <w:proofErr w:type="gramEnd"/>
      <w:r>
        <w:t>).</w:t>
      </w:r>
    </w:p>
    <w:p w:rsidR="00770520" w:rsidRDefault="00770520" w:rsidP="008A5857">
      <w:pPr>
        <w:spacing w:after="0"/>
        <w:jc w:val="both"/>
      </w:pPr>
    </w:p>
    <w:p w:rsidR="00C5033E" w:rsidRDefault="00770520" w:rsidP="008A5857">
      <w:pPr>
        <w:spacing w:after="0"/>
        <w:jc w:val="both"/>
      </w:pPr>
      <w:r>
        <w:t xml:space="preserve">-RNA </w:t>
      </w:r>
      <w:proofErr w:type="spellStart"/>
      <w:r>
        <w:t>Seq</w:t>
      </w:r>
      <w:proofErr w:type="spellEnd"/>
      <w:r>
        <w:t> : on séquence les gènes exprimés. On extrait les ARN selon les conditions e</w:t>
      </w:r>
      <w:r w:rsidR="00C5033E">
        <w:t>t on envoie à séquencer les ARN après avoir fait l’</w:t>
      </w:r>
      <w:proofErr w:type="spellStart"/>
      <w:r w:rsidR="00C5033E">
        <w:t>ADNc</w:t>
      </w:r>
      <w:proofErr w:type="spellEnd"/>
      <w:r w:rsidR="00C5033E">
        <w:t>.</w:t>
      </w:r>
    </w:p>
    <w:p w:rsidR="00C5033E" w:rsidRPr="008A5857" w:rsidRDefault="00C5033E" w:rsidP="008A5857">
      <w:pPr>
        <w:spacing w:after="0"/>
        <w:jc w:val="both"/>
      </w:pPr>
      <w:r>
        <w:t xml:space="preserve">-On savait que la plante avait le récepteur AVE1 et était résistante. Ceux qui ne l’avaient pas étaient sensibles.  Après le RNA </w:t>
      </w:r>
      <w:proofErr w:type="spellStart"/>
      <w:r>
        <w:t>Seq</w:t>
      </w:r>
      <w:proofErr w:type="spellEnd"/>
      <w:r>
        <w:t>, ils ont lu 25 000 000 de séquences. En bleu Race 1, pathogène reconnaissant la plante. Race 2, n’a pas l’effecteur. On compare au niveau de l’expression des gènes. Les séquences de race 1 et 2 ont été alignées. Ils ont trouvé une région avec un ORF qui les a intéressés. Ils regardent les 6 phases de lectures possibles, et retiennent la bonne. Ensuite, on trouve la séquence du gène AVE1 et on voit qu’il y a 2 exons et 1 intron.</w:t>
      </w:r>
    </w:p>
    <w:p w:rsidR="008A5857" w:rsidRDefault="00C5033E" w:rsidP="00C5033E">
      <w:pPr>
        <w:spacing w:after="0"/>
        <w:jc w:val="both"/>
      </w:pPr>
      <w:r>
        <w:t xml:space="preserve">-Ave1 : champignon + gène </w:t>
      </w:r>
      <w:proofErr w:type="spellStart"/>
      <w:r>
        <w:t>avirulence</w:t>
      </w:r>
      <w:proofErr w:type="spellEnd"/>
      <w:r>
        <w:t>.</w:t>
      </w:r>
    </w:p>
    <w:p w:rsidR="00C5033E" w:rsidRDefault="00C5033E" w:rsidP="00C5033E">
      <w:pPr>
        <w:spacing w:after="0"/>
        <w:jc w:val="both"/>
      </w:pPr>
      <w:r>
        <w:t>-Ave1 Ve1 : reconnaissance  et défense de la plante.</w:t>
      </w:r>
    </w:p>
    <w:p w:rsidR="00C5033E" w:rsidRDefault="00C5033E" w:rsidP="00C5033E">
      <w:pPr>
        <w:spacing w:after="0"/>
        <w:jc w:val="both"/>
      </w:pPr>
      <w:r>
        <w:t>-Ve1 tout seul : pas de réponse.</w:t>
      </w:r>
    </w:p>
    <w:p w:rsidR="009B1206" w:rsidRDefault="009B1206" w:rsidP="00C5033E">
      <w:pPr>
        <w:spacing w:after="0"/>
        <w:jc w:val="both"/>
      </w:pPr>
    </w:p>
    <w:p w:rsidR="009B1206" w:rsidRDefault="009B1206" w:rsidP="00C5033E">
      <w:pPr>
        <w:spacing w:after="0"/>
        <w:jc w:val="both"/>
        <w:rPr>
          <w:u w:val="single"/>
        </w:rPr>
      </w:pPr>
      <w:r>
        <w:rPr>
          <w:u w:val="single"/>
        </w:rPr>
        <w:t xml:space="preserve">Défense </w:t>
      </w:r>
      <w:r w:rsidR="00625BCC">
        <w:rPr>
          <w:u w:val="single"/>
        </w:rPr>
        <w:t>des plantes</w:t>
      </w:r>
      <w:r>
        <w:rPr>
          <w:u w:val="single"/>
        </w:rPr>
        <w:t> : HR et mort cellulaire programmée :</w:t>
      </w:r>
    </w:p>
    <w:p w:rsidR="009B1206" w:rsidRDefault="009B1206" w:rsidP="00C5033E">
      <w:pPr>
        <w:spacing w:after="0"/>
        <w:jc w:val="both"/>
      </w:pPr>
    </w:p>
    <w:p w:rsidR="009B1206" w:rsidRDefault="009B1206" w:rsidP="00C5033E">
      <w:pPr>
        <w:spacing w:after="0"/>
        <w:jc w:val="both"/>
      </w:pPr>
      <w:r>
        <w:t>-La réponse hypersensible, se met en place au niveau d’UNE cellule. Ça va être à l’origine des voies de signalisation de défense. Accompagné d’un stress oxydant intense et d’une mort cellulaire programmée.</w:t>
      </w:r>
    </w:p>
    <w:p w:rsidR="00456AD5" w:rsidRDefault="00456AD5" w:rsidP="00C5033E">
      <w:pPr>
        <w:spacing w:after="0"/>
        <w:jc w:val="both"/>
      </w:pPr>
      <w:r>
        <w:t xml:space="preserve">-Conséquence pour la cellule : </w:t>
      </w:r>
      <w:proofErr w:type="spellStart"/>
      <w:r>
        <w:t>Cf</w:t>
      </w:r>
      <w:proofErr w:type="spellEnd"/>
      <w:r>
        <w:t xml:space="preserve"> diapo, perte de la réponse osmotique, désorganisation des membranes, production massive d’oxydes d’acides gras insaturés (peroxydation en chaine).</w:t>
      </w:r>
    </w:p>
    <w:p w:rsidR="00456AD5" w:rsidRDefault="00456AD5" w:rsidP="00C5033E">
      <w:pPr>
        <w:spacing w:after="0"/>
        <w:jc w:val="both"/>
      </w:pPr>
      <w:r>
        <w:t xml:space="preserve">-H2O2, ions hydroxyde, NO. Produites au niveau </w:t>
      </w:r>
      <w:proofErr w:type="gramStart"/>
      <w:r>
        <w:t>des chloroplaste</w:t>
      </w:r>
      <w:proofErr w:type="gramEnd"/>
      <w:r>
        <w:t>, peroxysomes… Ce sont des messagers secondaires essentiels pour l’activation des gènes.</w:t>
      </w:r>
    </w:p>
    <w:p w:rsidR="00456AD5" w:rsidRDefault="002031BF" w:rsidP="00C5033E">
      <w:pPr>
        <w:spacing w:after="0"/>
        <w:jc w:val="both"/>
      </w:pPr>
      <w:r>
        <w:lastRenderedPageBreak/>
        <w:t xml:space="preserve">-Activité </w:t>
      </w:r>
      <w:proofErr w:type="spellStart"/>
      <w:r>
        <w:t>lipoxygénase</w:t>
      </w:r>
      <w:proofErr w:type="spellEnd"/>
      <w:r>
        <w:t>, les voies de signalisation qui vont prévenir TOUTE la plante vont être mises en place.</w:t>
      </w:r>
    </w:p>
    <w:p w:rsidR="002031BF" w:rsidRDefault="006535C6" w:rsidP="00C5033E">
      <w:pPr>
        <w:spacing w:after="0"/>
        <w:jc w:val="both"/>
      </w:pPr>
      <w:r>
        <w:t xml:space="preserve">-Voie des </w:t>
      </w:r>
      <w:r w:rsidR="002031BF">
        <w:t xml:space="preserve">oligosaccharides : quand le pathogène dégrade la paroi de la plante : libération d’oligosaccharide -&gt; activation de la défense de la plante.  Sinon on a la voie des </w:t>
      </w:r>
      <w:proofErr w:type="spellStart"/>
      <w:r w:rsidR="002031BF">
        <w:t>jasmonate</w:t>
      </w:r>
      <w:proofErr w:type="spellEnd"/>
      <w:r w:rsidR="002031BF">
        <w:t xml:space="preserve">, éthylène et acide </w:t>
      </w:r>
      <w:proofErr w:type="spellStart"/>
      <w:r w:rsidR="002031BF">
        <w:t>salycilique</w:t>
      </w:r>
      <w:proofErr w:type="spellEnd"/>
      <w:r w:rsidR="002031BF">
        <w:t>.</w:t>
      </w:r>
    </w:p>
    <w:p w:rsidR="002031BF" w:rsidRDefault="002031BF" w:rsidP="00C5033E">
      <w:pPr>
        <w:spacing w:after="0"/>
        <w:jc w:val="both"/>
      </w:pPr>
      <w:r>
        <w:t xml:space="preserve">-Les pathogènes </w:t>
      </w:r>
      <w:proofErr w:type="spellStart"/>
      <w:r>
        <w:t>nécrotrophes</w:t>
      </w:r>
      <w:proofErr w:type="spellEnd"/>
      <w:r>
        <w:t xml:space="preserve"> ne sont pas limité par la mort cellulaire. Ils activent la voie du </w:t>
      </w:r>
      <w:proofErr w:type="spellStart"/>
      <w:r>
        <w:t>jasmonate</w:t>
      </w:r>
      <w:proofErr w:type="spellEnd"/>
      <w:r>
        <w:t xml:space="preserve"> souvent associés à la voie de l’éthylène. Ces voies inhibent la voie de l’acide </w:t>
      </w:r>
      <w:proofErr w:type="spellStart"/>
      <w:r>
        <w:t>salycilique</w:t>
      </w:r>
      <w:proofErr w:type="spellEnd"/>
      <w:r>
        <w:t xml:space="preserve"> qui est la voie activée par les pathogènes </w:t>
      </w:r>
      <w:proofErr w:type="spellStart"/>
      <w:r>
        <w:t>biotrophes</w:t>
      </w:r>
      <w:proofErr w:type="spellEnd"/>
      <w:r>
        <w:t>.</w:t>
      </w:r>
    </w:p>
    <w:p w:rsidR="002031BF" w:rsidRDefault="002031BF" w:rsidP="00C5033E">
      <w:pPr>
        <w:spacing w:after="0"/>
        <w:jc w:val="both"/>
      </w:pPr>
      <w:r>
        <w:t xml:space="preserve">-Les plantes ne pouvant pas stocker l’acide </w:t>
      </w:r>
      <w:proofErr w:type="spellStart"/>
      <w:r>
        <w:t>salycilique</w:t>
      </w:r>
      <w:proofErr w:type="spellEnd"/>
      <w:r w:rsidR="00015D26">
        <w:t xml:space="preserve"> montrent une certaine sensibilité aux pathogènes.</w:t>
      </w:r>
    </w:p>
    <w:p w:rsidR="00015D26" w:rsidRDefault="00015D26" w:rsidP="00C5033E">
      <w:pPr>
        <w:spacing w:after="0"/>
        <w:jc w:val="both"/>
      </w:pPr>
      <w:r>
        <w:t xml:space="preserve">-PAL </w:t>
      </w:r>
      <w:proofErr w:type="spellStart"/>
      <w:r>
        <w:t>phenyl</w:t>
      </w:r>
      <w:proofErr w:type="spellEnd"/>
      <w:r>
        <w:t xml:space="preserve"> </w:t>
      </w:r>
      <w:proofErr w:type="spellStart"/>
      <w:r>
        <w:t>ammonia</w:t>
      </w:r>
      <w:proofErr w:type="spellEnd"/>
      <w:r>
        <w:t xml:space="preserve"> lyase, c’est un marqueur de la voie de l’acide </w:t>
      </w:r>
      <w:proofErr w:type="spellStart"/>
      <w:r>
        <w:t>salycilique</w:t>
      </w:r>
      <w:proofErr w:type="spellEnd"/>
      <w:r>
        <w:t>.</w:t>
      </w:r>
    </w:p>
    <w:p w:rsidR="00015D26" w:rsidRDefault="00015D26" w:rsidP="00C5033E">
      <w:pPr>
        <w:spacing w:after="0"/>
        <w:jc w:val="both"/>
      </w:pPr>
      <w:r>
        <w:t>-</w:t>
      </w:r>
      <w:proofErr w:type="spellStart"/>
      <w:r>
        <w:t>Jasmonate</w:t>
      </w:r>
      <w:proofErr w:type="spellEnd"/>
      <w:r>
        <w:t xml:space="preserve">, phytohormone, produit de dégradation de la voie des acides gras. Gène rapporteur : </w:t>
      </w:r>
      <w:proofErr w:type="spellStart"/>
      <w:r>
        <w:t>Lox</w:t>
      </w:r>
      <w:proofErr w:type="spellEnd"/>
      <w:r>
        <w:t xml:space="preserve"> </w:t>
      </w:r>
      <w:proofErr w:type="spellStart"/>
      <w:r>
        <w:t>Lipoxygénase</w:t>
      </w:r>
      <w:proofErr w:type="spellEnd"/>
      <w:r>
        <w:t>.</w:t>
      </w:r>
    </w:p>
    <w:p w:rsidR="00094044" w:rsidRDefault="00094044" w:rsidP="00C5033E">
      <w:pPr>
        <w:spacing w:after="0"/>
        <w:jc w:val="both"/>
      </w:pPr>
      <w:r>
        <w:t>-Ethylène : entraine la maturation des fruits.</w:t>
      </w:r>
    </w:p>
    <w:p w:rsidR="00094044" w:rsidRDefault="00094044" w:rsidP="00C5033E">
      <w:pPr>
        <w:spacing w:after="0"/>
        <w:jc w:val="both"/>
      </w:pPr>
      <w:r>
        <w:t xml:space="preserve">-Expression des protéines </w:t>
      </w:r>
      <w:r>
        <w:rPr>
          <w:b/>
        </w:rPr>
        <w:t>PR</w:t>
      </w:r>
      <w:r>
        <w:t> : molécules typiques de résistance de la plante.</w:t>
      </w:r>
    </w:p>
    <w:p w:rsidR="00094044" w:rsidRDefault="00094044" w:rsidP="00C5033E">
      <w:pPr>
        <w:spacing w:after="0"/>
        <w:jc w:val="both"/>
      </w:pPr>
      <w:r>
        <w:t>-</w:t>
      </w:r>
      <w:proofErr w:type="spellStart"/>
      <w:r>
        <w:t>Phytoalexines</w:t>
      </w:r>
      <w:proofErr w:type="spellEnd"/>
      <w:r>
        <w:t xml:space="preserve"> : Agissent en très faible quantité contre les pathogènes. </w:t>
      </w:r>
    </w:p>
    <w:p w:rsidR="00094044" w:rsidRDefault="00094044" w:rsidP="00C5033E">
      <w:pPr>
        <w:spacing w:after="0"/>
        <w:jc w:val="both"/>
      </w:pPr>
      <w:r>
        <w:t>-</w:t>
      </w:r>
      <w:proofErr w:type="spellStart"/>
      <w:r>
        <w:t>Hydroxyproline</w:t>
      </w:r>
      <w:proofErr w:type="spellEnd"/>
      <w:r>
        <w:t> : permet de rendre élastique la paroi de la plante, mécanisme de défense.</w:t>
      </w:r>
    </w:p>
    <w:p w:rsidR="00094044" w:rsidRDefault="00094044" w:rsidP="00C5033E">
      <w:pPr>
        <w:spacing w:after="0"/>
        <w:jc w:val="both"/>
      </w:pPr>
      <w:r>
        <w:t xml:space="preserve">-SAR : </w:t>
      </w:r>
      <w:proofErr w:type="spellStart"/>
      <w:r>
        <w:t>Systemic</w:t>
      </w:r>
      <w:proofErr w:type="spellEnd"/>
      <w:r>
        <w:t xml:space="preserve"> </w:t>
      </w:r>
      <w:proofErr w:type="spellStart"/>
      <w:r>
        <w:t>Acquired</w:t>
      </w:r>
      <w:proofErr w:type="spellEnd"/>
      <w:r>
        <w:t xml:space="preserve"> </w:t>
      </w:r>
      <w:proofErr w:type="spellStart"/>
      <w:r>
        <w:t>Resistance</w:t>
      </w:r>
      <w:proofErr w:type="spellEnd"/>
      <w:r>
        <w:t>. La plante entière devient activée.</w:t>
      </w:r>
    </w:p>
    <w:p w:rsidR="00094044" w:rsidRDefault="00094044" w:rsidP="00C5033E">
      <w:pPr>
        <w:spacing w:after="0"/>
        <w:jc w:val="both"/>
      </w:pPr>
      <w:r>
        <w:t xml:space="preserve">-Chez les </w:t>
      </w:r>
      <w:proofErr w:type="spellStart"/>
      <w:r>
        <w:t>nécrotrophes</w:t>
      </w:r>
      <w:proofErr w:type="spellEnd"/>
      <w:r>
        <w:t>, la mort cellulaire programmée favorise le pathogène entrainant un contournement des systèmes de défense.</w:t>
      </w:r>
    </w:p>
    <w:p w:rsidR="00094044" w:rsidRDefault="00094044" w:rsidP="00C5033E">
      <w:pPr>
        <w:spacing w:after="0"/>
        <w:jc w:val="both"/>
      </w:pPr>
    </w:p>
    <w:p w:rsidR="00094044" w:rsidRDefault="00094044" w:rsidP="00C5033E">
      <w:pPr>
        <w:spacing w:after="0"/>
        <w:jc w:val="both"/>
      </w:pPr>
      <w:r>
        <w:t>-</w:t>
      </w:r>
      <w:proofErr w:type="spellStart"/>
      <w:r>
        <w:rPr>
          <w:b/>
        </w:rPr>
        <w:t>Porteines</w:t>
      </w:r>
      <w:proofErr w:type="spellEnd"/>
      <w:r>
        <w:rPr>
          <w:b/>
        </w:rPr>
        <w:t xml:space="preserve"> PR :</w:t>
      </w:r>
      <w:r>
        <w:t xml:space="preserve"> Classées en 5 familles, expression inductible par le pathogène, accumulées dans les espaces intercellulaires, en nombre variable selon les plantes.</w:t>
      </w:r>
    </w:p>
    <w:p w:rsidR="00094044" w:rsidRDefault="00094044" w:rsidP="00C5033E">
      <w:pPr>
        <w:spacing w:after="0"/>
        <w:jc w:val="both"/>
      </w:pPr>
    </w:p>
    <w:p w:rsidR="00094044" w:rsidRDefault="00094044" w:rsidP="00C5033E">
      <w:pPr>
        <w:spacing w:after="0"/>
        <w:jc w:val="both"/>
      </w:pPr>
      <w:r>
        <w:t xml:space="preserve">-SAR : Le pathogène sécrète les </w:t>
      </w:r>
      <w:proofErr w:type="spellStart"/>
      <w:r>
        <w:t>éliciteurs</w:t>
      </w:r>
      <w:proofErr w:type="spellEnd"/>
      <w:r>
        <w:t xml:space="preserve"> reconnu par des récepteurs, HS </w:t>
      </w:r>
      <w:proofErr w:type="spellStart"/>
      <w:r>
        <w:t>reaction</w:t>
      </w:r>
      <w:proofErr w:type="spellEnd"/>
      <w:r>
        <w:t xml:space="preserve">, Sécrétion d’acide </w:t>
      </w:r>
      <w:proofErr w:type="spellStart"/>
      <w:r>
        <w:t>salycilque</w:t>
      </w:r>
      <w:proofErr w:type="spellEnd"/>
      <w:r>
        <w:t xml:space="preserve"> qui va diffuser dans la plante entière. On a des messager</w:t>
      </w:r>
      <w:r w:rsidR="00B65A45">
        <w:t>s</w:t>
      </w:r>
      <w:r>
        <w:t xml:space="preserve"> secondaire</w:t>
      </w:r>
      <w:r w:rsidR="00B65A45">
        <w:t>s</w:t>
      </w:r>
      <w:r>
        <w:t xml:space="preserve">, H2O2, le </w:t>
      </w:r>
      <w:proofErr w:type="spellStart"/>
      <w:r>
        <w:t>jasmonate</w:t>
      </w:r>
      <w:proofErr w:type="spellEnd"/>
      <w:r>
        <w:t xml:space="preserve">. De plus, le SAR empêche </w:t>
      </w:r>
      <w:r w:rsidR="00B65A45">
        <w:t>la lésion nécrotique de s’agrandir.</w:t>
      </w:r>
    </w:p>
    <w:p w:rsidR="00A8554D" w:rsidRDefault="00A8554D" w:rsidP="00C5033E">
      <w:pPr>
        <w:spacing w:after="0"/>
        <w:jc w:val="both"/>
      </w:pPr>
    </w:p>
    <w:p w:rsidR="00A8554D" w:rsidRDefault="00A8554D" w:rsidP="00C5033E">
      <w:pPr>
        <w:spacing w:after="0"/>
        <w:jc w:val="both"/>
      </w:pPr>
      <w:r>
        <w:t>-Notion de priming : première confrontation à un stress -&gt; Augmentation du stress.</w:t>
      </w:r>
    </w:p>
    <w:p w:rsidR="00A8554D" w:rsidRDefault="00A8554D" w:rsidP="00A8554D">
      <w:pPr>
        <w:spacing w:after="0"/>
        <w:jc w:val="both"/>
      </w:pPr>
      <w:r>
        <w:tab/>
      </w:r>
      <w:r>
        <w:sym w:font="Wingdings" w:char="F0E0"/>
      </w:r>
      <w:r>
        <w:t xml:space="preserve"> BABA : signalisation différente de SAR</w:t>
      </w:r>
    </w:p>
    <w:p w:rsidR="00A8554D" w:rsidRDefault="00A8554D" w:rsidP="00A8554D">
      <w:pPr>
        <w:spacing w:after="0"/>
        <w:jc w:val="both"/>
      </w:pPr>
      <w:r>
        <w:tab/>
      </w:r>
      <w:r>
        <w:sym w:font="Wingdings" w:char="F0E0"/>
      </w:r>
      <w:r>
        <w:t>Provitamine K</w:t>
      </w:r>
    </w:p>
    <w:p w:rsidR="00A8554D" w:rsidRDefault="00A8554D" w:rsidP="00A8554D">
      <w:pPr>
        <w:spacing w:after="0"/>
        <w:jc w:val="both"/>
      </w:pPr>
    </w:p>
    <w:p w:rsidR="00A8554D" w:rsidRDefault="00A8554D" w:rsidP="00A8554D">
      <w:pPr>
        <w:spacing w:after="0"/>
        <w:jc w:val="both"/>
      </w:pPr>
      <w:r>
        <w:t>-</w:t>
      </w:r>
      <w:proofErr w:type="spellStart"/>
      <w:r>
        <w:t>Callose</w:t>
      </w:r>
      <w:proofErr w:type="spellEnd"/>
      <w:r>
        <w:t>, sorte de cellulose qui est responsable de l’épaississement de la paroi de la plante.</w:t>
      </w:r>
    </w:p>
    <w:p w:rsidR="00A8554D" w:rsidRPr="00094044" w:rsidRDefault="00A8554D" w:rsidP="00A8554D">
      <w:pPr>
        <w:spacing w:after="0"/>
        <w:jc w:val="both"/>
      </w:pPr>
      <w:bookmarkStart w:id="0" w:name="_GoBack"/>
      <w:bookmarkEnd w:id="0"/>
      <w:r>
        <w:t xml:space="preserve"> </w:t>
      </w:r>
    </w:p>
    <w:sectPr w:rsidR="00A8554D" w:rsidRPr="000940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A705F"/>
    <w:multiLevelType w:val="hybridMultilevel"/>
    <w:tmpl w:val="B4D6E624"/>
    <w:lvl w:ilvl="0" w:tplc="2CE6D846">
      <w:numFmt w:val="bullet"/>
      <w:lvlText w:val=""/>
      <w:lvlJc w:val="left"/>
      <w:pPr>
        <w:ind w:left="1065" w:hanging="360"/>
      </w:pPr>
      <w:rPr>
        <w:rFonts w:ascii="Wingdings" w:eastAsiaTheme="minorHAnsi" w:hAnsi="Wingdings"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nsid w:val="59A44288"/>
    <w:multiLevelType w:val="hybridMultilevel"/>
    <w:tmpl w:val="9A12302C"/>
    <w:lvl w:ilvl="0" w:tplc="378A22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A825B89"/>
    <w:multiLevelType w:val="hybridMultilevel"/>
    <w:tmpl w:val="9B92D5F8"/>
    <w:lvl w:ilvl="0" w:tplc="25B4B1F6">
      <w:numFmt w:val="bullet"/>
      <w:lvlText w:val=""/>
      <w:lvlJc w:val="left"/>
      <w:pPr>
        <w:ind w:left="1065" w:hanging="360"/>
      </w:pPr>
      <w:rPr>
        <w:rFonts w:ascii="Wingdings" w:eastAsiaTheme="minorHAnsi" w:hAnsi="Wingdings"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278"/>
    <w:rsid w:val="00015D26"/>
    <w:rsid w:val="00086FB7"/>
    <w:rsid w:val="00094044"/>
    <w:rsid w:val="00132A34"/>
    <w:rsid w:val="002031BF"/>
    <w:rsid w:val="00320FED"/>
    <w:rsid w:val="004421E8"/>
    <w:rsid w:val="00452278"/>
    <w:rsid w:val="00456AD5"/>
    <w:rsid w:val="00563D63"/>
    <w:rsid w:val="00625BCC"/>
    <w:rsid w:val="006535C6"/>
    <w:rsid w:val="00656C73"/>
    <w:rsid w:val="00770520"/>
    <w:rsid w:val="00775366"/>
    <w:rsid w:val="00820AAA"/>
    <w:rsid w:val="008A5857"/>
    <w:rsid w:val="009B1206"/>
    <w:rsid w:val="00A8554D"/>
    <w:rsid w:val="00B65A45"/>
    <w:rsid w:val="00C5033E"/>
    <w:rsid w:val="00C51C17"/>
    <w:rsid w:val="00EB39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B39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B39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1574</Words>
  <Characters>8662</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11</cp:revision>
  <dcterms:created xsi:type="dcterms:W3CDTF">2013-03-19T16:04:00Z</dcterms:created>
  <dcterms:modified xsi:type="dcterms:W3CDTF">2013-03-29T10:52:00Z</dcterms:modified>
</cp:coreProperties>
</file>